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587"/>
        <w:gridCol w:w="911"/>
        <w:gridCol w:w="2143"/>
        <w:gridCol w:w="1294"/>
        <w:gridCol w:w="3138"/>
      </w:tblGrid>
      <w:tr w:rsidR="008D0014" w:rsidRPr="008D0014" w:rsidTr="008D0014">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8D0014" w:rsidRPr="008D0014" w:rsidRDefault="008D0014" w:rsidP="008D0014">
            <w:pPr>
              <w:spacing w:after="75" w:line="240" w:lineRule="auto"/>
              <w:rPr>
                <w:rFonts w:ascii="Verdana" w:eastAsia="Times New Roman" w:hAnsi="Verdana" w:cs="Times New Roman"/>
                <w:sz w:val="14"/>
                <w:szCs w:val="14"/>
                <w:lang w:eastAsia="en-AU"/>
              </w:rPr>
            </w:pPr>
            <w:r w:rsidRPr="008D0014">
              <w:rPr>
                <w:rFonts w:ascii="Verdana" w:eastAsia="Times New Roman" w:hAnsi="Verdana" w:cs="Times New Roman"/>
                <w:b/>
                <w:bCs/>
                <w:sz w:val="14"/>
                <w:szCs w:val="14"/>
                <w:lang w:eastAsia="en-AU"/>
              </w:rPr>
              <w:t>Table 77:</w:t>
            </w:r>
            <w:r w:rsidRPr="008D0014">
              <w:rPr>
                <w:rFonts w:ascii="Verdana" w:eastAsia="Times New Roman" w:hAnsi="Verdana" w:cs="Times New Roman"/>
                <w:sz w:val="14"/>
                <w:szCs w:val="14"/>
                <w:lang w:eastAsia="en-AU"/>
              </w:rPr>
              <w:t xml:space="preserve"> Data Matching Agency input and output for all agencies 2010–13</w:t>
            </w:r>
            <w:r w:rsidRPr="008D0014">
              <w:rPr>
                <w:rFonts w:ascii="Verdana" w:eastAsia="Times New Roman" w:hAnsi="Verdana" w:cs="Times New Roman"/>
                <w:sz w:val="14"/>
                <w:szCs w:val="14"/>
                <w:vertAlign w:val="superscript"/>
                <w:lang w:eastAsia="en-AU"/>
              </w:rPr>
              <w:t>1</w:t>
            </w:r>
            <w:r w:rsidRPr="008D0014">
              <w:rPr>
                <w:rFonts w:ascii="Verdana" w:eastAsia="Times New Roman" w:hAnsi="Verdana" w:cs="Times New Roman"/>
                <w:sz w:val="14"/>
                <w:szCs w:val="14"/>
                <w:lang w:eastAsia="en-AU"/>
              </w:rPr>
              <w:t xml:space="preserve"> </w:t>
            </w:r>
          </w:p>
        </w:tc>
      </w:tr>
      <w:tr w:rsidR="008D0014" w:rsidRPr="008D0014" w:rsidTr="008D0014">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b/>
                <w:bCs/>
                <w:color w:val="000000"/>
                <w:sz w:val="17"/>
                <w:szCs w:val="17"/>
                <w:lang w:eastAsia="en-AU"/>
              </w:rPr>
            </w:pPr>
            <w:r w:rsidRPr="008D0014">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b/>
                <w:bCs/>
                <w:color w:val="000000"/>
                <w:sz w:val="17"/>
                <w:szCs w:val="17"/>
                <w:lang w:eastAsia="en-AU"/>
              </w:rPr>
            </w:pPr>
            <w:r w:rsidRPr="008D0014">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b/>
                <w:bCs/>
                <w:color w:val="000000"/>
                <w:sz w:val="17"/>
                <w:szCs w:val="17"/>
                <w:lang w:eastAsia="en-AU"/>
              </w:rPr>
            </w:pPr>
            <w:r w:rsidRPr="008D0014">
              <w:rPr>
                <w:rFonts w:ascii="Verdana" w:eastAsia="Times New Roman" w:hAnsi="Verdana" w:cs="Times New Roman"/>
                <w:b/>
                <w:bCs/>
                <w:color w:val="000000"/>
                <w:sz w:val="17"/>
                <w:szCs w:val="17"/>
                <w:lang w:eastAsia="en-AU"/>
              </w:rPr>
              <w:t>Matches undertaken</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b/>
                <w:bCs/>
                <w:color w:val="000000"/>
                <w:sz w:val="17"/>
                <w:szCs w:val="17"/>
                <w:lang w:eastAsia="en-AU"/>
              </w:rPr>
            </w:pPr>
            <w:r w:rsidRPr="008D0014">
              <w:rPr>
                <w:rFonts w:ascii="Verdana" w:eastAsia="Times New Roman" w:hAnsi="Verdana" w:cs="Times New Roman"/>
                <w:b/>
                <w:bCs/>
                <w:color w:val="000000"/>
                <w:sz w:val="17"/>
                <w:szCs w:val="17"/>
                <w:lang w:eastAsia="en-AU"/>
              </w:rPr>
              <w:t>DMA output</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b/>
                <w:bCs/>
                <w:color w:val="000000"/>
                <w:sz w:val="17"/>
                <w:szCs w:val="17"/>
                <w:lang w:eastAsia="en-AU"/>
              </w:rPr>
            </w:pPr>
            <w:r w:rsidRPr="008D0014">
              <w:rPr>
                <w:rFonts w:ascii="Verdana" w:eastAsia="Times New Roman" w:hAnsi="Verdana" w:cs="Times New Roman"/>
                <w:b/>
                <w:bCs/>
                <w:color w:val="000000"/>
                <w:sz w:val="17"/>
                <w:szCs w:val="17"/>
                <w:lang w:eastAsia="en-AU"/>
              </w:rPr>
              <w:t>DMA output as a percentage</w:t>
            </w:r>
            <w:r w:rsidRPr="008D0014">
              <w:rPr>
                <w:rFonts w:ascii="Verdana" w:eastAsia="Times New Roman" w:hAnsi="Verdana" w:cs="Times New Roman"/>
                <w:b/>
                <w:bCs/>
                <w:color w:val="000000"/>
                <w:sz w:val="17"/>
                <w:szCs w:val="17"/>
                <w:lang w:eastAsia="en-AU"/>
              </w:rPr>
              <w:br/>
              <w:t>of total departmental matches</w:t>
            </w:r>
          </w:p>
        </w:tc>
      </w:tr>
      <w:tr w:rsidR="008D0014" w:rsidRPr="008D0014" w:rsidTr="008D0014">
        <w:tc>
          <w:tcPr>
            <w:tcW w:w="0" w:type="auto"/>
            <w:vMerge w:val="restart"/>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Department of</w:t>
            </w:r>
            <w:r w:rsidRPr="008D0014">
              <w:rPr>
                <w:rFonts w:ascii="Verdana" w:eastAsia="Times New Roman" w:hAnsi="Verdana" w:cs="Times New Roman"/>
                <w:sz w:val="17"/>
                <w:szCs w:val="17"/>
                <w:lang w:eastAsia="en-AU"/>
              </w:rPr>
              <w:br/>
              <w:t>Human Services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2010–11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66,461,459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1,504,272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2011–12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98,234,540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2,298,262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2012–13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101,649,544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2,274,186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2.2</w:t>
            </w:r>
          </w:p>
        </w:tc>
      </w:tr>
      <w:tr w:rsidR="008D0014" w:rsidRPr="008D0014" w:rsidTr="008D0014">
        <w:tc>
          <w:tcPr>
            <w:tcW w:w="0" w:type="auto"/>
            <w:vMerge w:val="restart"/>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Department of</w:t>
            </w:r>
            <w:r w:rsidRPr="008D0014">
              <w:rPr>
                <w:rFonts w:ascii="Verdana" w:eastAsia="Times New Roman" w:hAnsi="Verdana" w:cs="Times New Roman"/>
                <w:sz w:val="17"/>
                <w:szCs w:val="17"/>
                <w:lang w:eastAsia="en-AU"/>
              </w:rPr>
              <w:br/>
              <w:t>Veterans’ Affairs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2010–11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1,312,717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32,234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2.5</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2011–12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1,662,903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30,532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1.8</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2012–13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1,556,478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30,519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1.9</w:t>
            </w:r>
          </w:p>
        </w:tc>
      </w:tr>
      <w:tr w:rsidR="008D0014" w:rsidRPr="008D0014" w:rsidTr="008D0014">
        <w:tc>
          <w:tcPr>
            <w:tcW w:w="0" w:type="auto"/>
            <w:vMerge w:val="restart"/>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Total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2010–11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67,774,176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1,536,506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2011–12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99,897,443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2,328,794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w:t>
            </w:r>
          </w:p>
        </w:tc>
      </w:tr>
      <w:tr w:rsidR="008D0014" w:rsidRPr="008D0014" w:rsidTr="008D0014">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8D0014" w:rsidRPr="008D0014" w:rsidRDefault="008D0014" w:rsidP="008D0014">
            <w:pPr>
              <w:spacing w:after="0" w:line="240" w:lineRule="auto"/>
              <w:rPr>
                <w:rFonts w:ascii="Verdana" w:eastAsia="Times New Roman" w:hAnsi="Verdana" w:cs="Times New Roman"/>
                <w:sz w:val="17"/>
                <w:szCs w:val="17"/>
                <w:lang w:eastAsia="en-A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center"/>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2012–13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103,206,022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2,304,705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D0014" w:rsidRPr="008D0014" w:rsidRDefault="008D0014" w:rsidP="008D0014">
            <w:pPr>
              <w:spacing w:after="0" w:line="240" w:lineRule="auto"/>
              <w:jc w:val="right"/>
              <w:rPr>
                <w:rFonts w:ascii="Verdana" w:eastAsia="Times New Roman" w:hAnsi="Verdana" w:cs="Times New Roman"/>
                <w:sz w:val="17"/>
                <w:szCs w:val="17"/>
                <w:lang w:eastAsia="en-AU"/>
              </w:rPr>
            </w:pPr>
            <w:r w:rsidRPr="008D0014">
              <w:rPr>
                <w:rFonts w:ascii="Verdana" w:eastAsia="Times New Roman" w:hAnsi="Verdana" w:cs="Times New Roman"/>
                <w:sz w:val="17"/>
                <w:szCs w:val="17"/>
                <w:lang w:eastAsia="en-AU"/>
              </w:rPr>
              <w:t>2.2</w:t>
            </w:r>
          </w:p>
        </w:tc>
      </w:tr>
    </w:tbl>
    <w:p w:rsidR="008D0014" w:rsidRDefault="008D0014" w:rsidP="008D0014">
      <w:pPr>
        <w:shd w:val="clear" w:color="auto" w:fill="FFFFFF"/>
        <w:spacing w:after="170" w:line="240" w:lineRule="auto"/>
        <w:rPr>
          <w:rFonts w:ascii="Verdana" w:eastAsia="Times New Roman" w:hAnsi="Verdana" w:cs="Times New Roman"/>
          <w:sz w:val="15"/>
          <w:szCs w:val="15"/>
          <w:lang w:val="en" w:eastAsia="en-AU"/>
        </w:rPr>
      </w:pPr>
    </w:p>
    <w:p w:rsidR="008D0014" w:rsidRPr="008D0014" w:rsidRDefault="008D0014" w:rsidP="008D0014">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8D0014">
        <w:rPr>
          <w:rFonts w:ascii="Verdana" w:eastAsia="Times New Roman" w:hAnsi="Verdana" w:cs="Times New Roman"/>
          <w:sz w:val="15"/>
          <w:szCs w:val="15"/>
          <w:lang w:val="en" w:eastAsia="en-AU"/>
        </w:rPr>
        <w:t>1. Many people will have more than one component including married, maiden or previous legal names. For DVA, maiden and married names are separated into two records after receipt by the DMA.</w:t>
      </w:r>
    </w:p>
    <w:p w:rsidR="006F7EF6" w:rsidRPr="008D0014" w:rsidRDefault="006F7EF6" w:rsidP="008D0014"/>
    <w:sectPr w:rsidR="006F7EF6" w:rsidRPr="008D00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FF8"/>
    <w:rsid w:val="00612FF8"/>
    <w:rsid w:val="006F7EF6"/>
    <w:rsid w:val="008D0014"/>
    <w:rsid w:val="00AC6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8D0014"/>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8D00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8D0014"/>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8D00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8614">
      <w:bodyDiv w:val="1"/>
      <w:marLeft w:val="0"/>
      <w:marRight w:val="0"/>
      <w:marTop w:val="0"/>
      <w:marBottom w:val="0"/>
      <w:divBdr>
        <w:top w:val="none" w:sz="0" w:space="0" w:color="auto"/>
        <w:left w:val="none" w:sz="0" w:space="0" w:color="auto"/>
        <w:bottom w:val="none" w:sz="0" w:space="0" w:color="auto"/>
        <w:right w:val="none" w:sz="0" w:space="0" w:color="auto"/>
      </w:divBdr>
      <w:divsChild>
        <w:div w:id="1211989458">
          <w:marLeft w:val="0"/>
          <w:marRight w:val="0"/>
          <w:marTop w:val="0"/>
          <w:marBottom w:val="0"/>
          <w:divBdr>
            <w:top w:val="none" w:sz="0" w:space="0" w:color="auto"/>
            <w:left w:val="none" w:sz="0" w:space="0" w:color="auto"/>
            <w:bottom w:val="none" w:sz="0" w:space="0" w:color="auto"/>
            <w:right w:val="none" w:sz="0" w:space="0" w:color="auto"/>
          </w:divBdr>
          <w:divsChild>
            <w:div w:id="1157764696">
              <w:marLeft w:val="0"/>
              <w:marRight w:val="0"/>
              <w:marTop w:val="0"/>
              <w:marBottom w:val="0"/>
              <w:divBdr>
                <w:top w:val="none" w:sz="0" w:space="0" w:color="auto"/>
                <w:left w:val="none" w:sz="0" w:space="0" w:color="auto"/>
                <w:bottom w:val="none" w:sz="0" w:space="0" w:color="auto"/>
                <w:right w:val="none" w:sz="0" w:space="0" w:color="auto"/>
              </w:divBdr>
              <w:divsChild>
                <w:div w:id="1777171490">
                  <w:marLeft w:val="0"/>
                  <w:marRight w:val="0"/>
                  <w:marTop w:val="0"/>
                  <w:marBottom w:val="0"/>
                  <w:divBdr>
                    <w:top w:val="none" w:sz="0" w:space="0" w:color="auto"/>
                    <w:left w:val="none" w:sz="0" w:space="0" w:color="auto"/>
                    <w:bottom w:val="none" w:sz="0" w:space="0" w:color="auto"/>
                    <w:right w:val="none" w:sz="0" w:space="0" w:color="auto"/>
                  </w:divBdr>
                  <w:divsChild>
                    <w:div w:id="2014601275">
                      <w:marLeft w:val="0"/>
                      <w:marRight w:val="0"/>
                      <w:marTop w:val="0"/>
                      <w:marBottom w:val="0"/>
                      <w:divBdr>
                        <w:top w:val="none" w:sz="0" w:space="0" w:color="auto"/>
                        <w:left w:val="none" w:sz="0" w:space="0" w:color="auto"/>
                        <w:bottom w:val="none" w:sz="0" w:space="0" w:color="auto"/>
                        <w:right w:val="none" w:sz="0" w:space="0" w:color="auto"/>
                      </w:divBdr>
                      <w:divsChild>
                        <w:div w:id="87269605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522607">
      <w:bodyDiv w:val="1"/>
      <w:marLeft w:val="0"/>
      <w:marRight w:val="0"/>
      <w:marTop w:val="0"/>
      <w:marBottom w:val="0"/>
      <w:divBdr>
        <w:top w:val="none" w:sz="0" w:space="0" w:color="auto"/>
        <w:left w:val="none" w:sz="0" w:space="0" w:color="auto"/>
        <w:bottom w:val="none" w:sz="0" w:space="0" w:color="auto"/>
        <w:right w:val="none" w:sz="0" w:space="0" w:color="auto"/>
      </w:divBdr>
      <w:divsChild>
        <w:div w:id="73820083">
          <w:marLeft w:val="0"/>
          <w:marRight w:val="0"/>
          <w:marTop w:val="0"/>
          <w:marBottom w:val="0"/>
          <w:divBdr>
            <w:top w:val="none" w:sz="0" w:space="0" w:color="auto"/>
            <w:left w:val="none" w:sz="0" w:space="0" w:color="auto"/>
            <w:bottom w:val="none" w:sz="0" w:space="0" w:color="auto"/>
            <w:right w:val="none" w:sz="0" w:space="0" w:color="auto"/>
          </w:divBdr>
          <w:divsChild>
            <w:div w:id="343364257">
              <w:marLeft w:val="0"/>
              <w:marRight w:val="0"/>
              <w:marTop w:val="0"/>
              <w:marBottom w:val="0"/>
              <w:divBdr>
                <w:top w:val="none" w:sz="0" w:space="0" w:color="auto"/>
                <w:left w:val="none" w:sz="0" w:space="0" w:color="auto"/>
                <w:bottom w:val="none" w:sz="0" w:space="0" w:color="auto"/>
                <w:right w:val="none" w:sz="0" w:space="0" w:color="auto"/>
              </w:divBdr>
              <w:divsChild>
                <w:div w:id="533543967">
                  <w:marLeft w:val="0"/>
                  <w:marRight w:val="0"/>
                  <w:marTop w:val="0"/>
                  <w:marBottom w:val="0"/>
                  <w:divBdr>
                    <w:top w:val="none" w:sz="0" w:space="0" w:color="auto"/>
                    <w:left w:val="none" w:sz="0" w:space="0" w:color="auto"/>
                    <w:bottom w:val="none" w:sz="0" w:space="0" w:color="auto"/>
                    <w:right w:val="none" w:sz="0" w:space="0" w:color="auto"/>
                  </w:divBdr>
                  <w:divsChild>
                    <w:div w:id="2053991132">
                      <w:marLeft w:val="0"/>
                      <w:marRight w:val="0"/>
                      <w:marTop w:val="0"/>
                      <w:marBottom w:val="0"/>
                      <w:divBdr>
                        <w:top w:val="none" w:sz="0" w:space="0" w:color="auto"/>
                        <w:left w:val="none" w:sz="0" w:space="0" w:color="auto"/>
                        <w:bottom w:val="none" w:sz="0" w:space="0" w:color="auto"/>
                        <w:right w:val="none" w:sz="0" w:space="0" w:color="auto"/>
                      </w:divBdr>
                      <w:divsChild>
                        <w:div w:id="1129201998">
                          <w:marLeft w:val="0"/>
                          <w:marRight w:val="0"/>
                          <w:marTop w:val="0"/>
                          <w:marBottom w:val="0"/>
                          <w:divBdr>
                            <w:top w:val="none" w:sz="0" w:space="0" w:color="auto"/>
                            <w:left w:val="none" w:sz="0" w:space="0" w:color="auto"/>
                            <w:bottom w:val="none" w:sz="0" w:space="0" w:color="auto"/>
                            <w:right w:val="none" w:sz="0" w:space="0" w:color="auto"/>
                          </w:divBdr>
                          <w:divsChild>
                            <w:div w:id="34494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2014-02-24T22:44:00Z</dcterms:created>
  <dcterms:modified xsi:type="dcterms:W3CDTF">2014-03-04T23:02:00Z</dcterms:modified>
</cp:coreProperties>
</file>